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i/>
          <w:i/>
        </w:rPr>
      </w:pPr>
      <w:r>
        <w:rPr>
          <w:i/>
        </w:rPr>
        <w:t>Załącznik nr 6</w:t>
      </w:r>
    </w:p>
    <w:p>
      <w:pPr>
        <w:pStyle w:val="Normal"/>
        <w:rPr/>
      </w:pPr>
      <w:r>
        <w:rPr/>
      </w:r>
    </w:p>
    <w:tbl>
      <w:tblPr>
        <w:tblW w:w="9195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885"/>
        <w:gridCol w:w="6309"/>
      </w:tblGrid>
      <w:tr>
        <w:trPr>
          <w:trHeight w:val="612" w:hRule="atLeast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>
        <w:trPr>
          <w:trHeight w:val="360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Kierunek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Pedagogika</w:t>
            </w:r>
          </w:p>
        </w:tc>
      </w:tr>
      <w:tr>
        <w:trPr>
          <w:trHeight w:val="20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Poziom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studia jednolite magisterskie</w:t>
            </w:r>
          </w:p>
        </w:tc>
      </w:tr>
      <w:tr>
        <w:trPr>
          <w:trHeight w:val="23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Profil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praktyczny</w:t>
            </w:r>
          </w:p>
        </w:tc>
      </w:tr>
      <w:tr>
        <w:trPr>
          <w:trHeight w:val="30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Forma prowadzenia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stacjonarne</w:t>
            </w:r>
          </w:p>
        </w:tc>
      </w:tr>
      <w:tr>
        <w:trPr>
          <w:trHeight w:val="192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7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Przedmiot/kod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Indywidualizowanie procesu edukacyjnego/IPEP-0-IPE</w:t>
            </w:r>
          </w:p>
        </w:tc>
      </w:tr>
      <w:tr>
        <w:trPr>
          <w:trHeight w:val="112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Rok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czwarty</w:t>
            </w:r>
          </w:p>
        </w:tc>
      </w:tr>
      <w:tr>
        <w:trPr>
          <w:trHeight w:val="182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Semestr 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ósmy</w:t>
            </w:r>
          </w:p>
        </w:tc>
      </w:tr>
      <w:tr>
        <w:trPr>
          <w:trHeight w:val="39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Liczba  godzin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Wykłady:            Ćwiczenia: 30             Laboratorium:          </w:t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Liczba punktów ECTS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  </w:t>
            </w:r>
            <w:r>
              <w:rPr/>
              <w:t>ECTS 3 (w tym ECTS praktycznych: 3)</w:t>
            </w:r>
          </w:p>
        </w:tc>
      </w:tr>
      <w:tr>
        <w:trPr>
          <w:trHeight w:val="380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Prowadzący przedmiot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Wymagania wstępne </w:t>
              <w:br/>
              <w:t>w zakresie wiedzy, umiejętności, kompetencji personalnych i społecznych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Wiedza z języka polskiego, a także wiadomości z zakresu wiedzy o społeczeństwie/historii i społeczeństwa z poziomu szkoły ponadgimnazjalnej (liceum lub technikum); umiejętności z zakresu redagowania form pisemnych, które powinien opanować uczeń ww. typów szkół, jak również swobodnego wypowiadania się na tematy związane z ogólną wiedzą o regionie, Polsce i świecie oraz z zakresu nauki w szkole ponadgimnazjalnej (liceum lub technikum).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 xml:space="preserve">Podstawowe informacje z zakresu posługiwania się technologiami informacyjnymi. </w:t>
            </w:r>
          </w:p>
        </w:tc>
      </w:tr>
      <w:tr>
        <w:trPr>
          <w:trHeight w:val="802" w:hRule="atLeast"/>
        </w:trPr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Cel (cele) przedmiotu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Zapoznanie z różnymi modelami indywidualizującymi proces edukacyjny młodego człowieka.</w:t>
            </w:r>
          </w:p>
        </w:tc>
      </w:tr>
      <w:tr>
        <w:trPr>
          <w:trHeight w:val="890" w:hRule="atLeast"/>
        </w:trPr>
        <w:tc>
          <w:tcPr>
            <w:tcW w:w="2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Zapoznanie z przebiegiem procesu adaptacyjnego dziecka w przedszkolu lub w szkole. </w:t>
            </w:r>
          </w:p>
        </w:tc>
      </w:tr>
      <w:tr>
        <w:trPr>
          <w:trHeight w:val="880" w:hRule="atLeast"/>
        </w:trPr>
        <w:tc>
          <w:tcPr>
            <w:tcW w:w="2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Zapoznanie z zasadami projektowania spersonalizowanych strategii edukacyjnych w przedszkolu oraz klasach I–III szkoły podstawowej.</w:t>
            </w:r>
          </w:p>
        </w:tc>
      </w:tr>
      <w:tr>
        <w:trPr>
          <w:trHeight w:val="884" w:hRule="atLeast"/>
        </w:trPr>
        <w:tc>
          <w:tcPr>
            <w:tcW w:w="2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Kształtowanie umiejętności planowania, realizowania, jak również oceny efektów strategii indywidualizujących proces kształcenia. </w:t>
            </w:r>
          </w:p>
        </w:tc>
      </w:tr>
      <w:tr>
        <w:trPr>
          <w:trHeight w:val="722" w:hRule="atLeast"/>
        </w:trPr>
        <w:tc>
          <w:tcPr>
            <w:tcW w:w="2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Przygotowanie do kierowania się wrażliwością etyczną, empatią, otwartością, krytycyzmem oraz przyjęcia odpowiedzialności za integralny rozwój dzieci lub uczniów i podejmowane działania pedagogiczne.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369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088"/>
        <w:gridCol w:w="4725"/>
        <w:gridCol w:w="2556"/>
      </w:tblGrid>
      <w:tr>
        <w:trPr>
          <w:trHeight w:val="615" w:hRule="atLeast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>
        <w:trPr>
          <w:trHeight w:val="540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Symbole efektów uczenia się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Potwierdzenie osiągnięcia efektów uczenia się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 xml:space="preserve">Odniesienie do efektów </w:t>
            </w:r>
            <w:r>
              <w:rPr/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>
        <w:trPr>
          <w:trHeight w:val="688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Posiada wiedzę w zakresie karty opisu przedmiotu (cele i efekty uczenia się) oraz zasad bezpieczeństwa i higieny pracy w odniesieniu do przedmiotu.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SJKPPW_W22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5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Zna i rozumie zróżnicowanie modeli ujmowania procesu wspierania rozwoju dziecka lub ucznia, w tym behawioralnego, konstruktywistycznego, emancypacyjnego; </w:t>
            </w:r>
          </w:p>
          <w:p>
            <w:pPr>
              <w:pStyle w:val="Normal"/>
              <w:rPr/>
            </w:pPr>
            <w:r>
              <w:rPr/>
              <w:t xml:space="preserve">zadania edukacji przedszkolnej i wczesnoszkolnej w zakresie wspierania rozwoju dziecka lub ucznia; proces adaptacji dziecka w przedszkolu i ucznia w szkole; </w:t>
            </w:r>
          </w:p>
          <w:p>
            <w:pPr>
              <w:pStyle w:val="Normal"/>
              <w:rPr/>
            </w:pPr>
            <w:r>
              <w:rPr/>
              <w:t xml:space="preserve">strategie stymulowania aktywności poznawczej dzieci lub uczniów; rolę inicjacji: czytelniczej, teatralnej, muzycznej, plastycznej, technicznej.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SJKPPW_W01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SJKPPW_W04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SJKPPW_W05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SJKPPW_W06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Zna i rozumie możliwości wykorzystania w codziennej praktyce edukacyjnej różnorodnych sposobów organizowania środowiska uczenia się i nauczania; organizację środowiska wychowawczego przy uwzględnieniu specyficznych potrzeb i możliwości poszczególnych dzieci, uczniów lub grup.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SJKPPW_W02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SJKPPW_W06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SJKPPW_W08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SJKPPW_W11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SJKPPW_W12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5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IPEP-0-IPE_04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Zna i rozumienia zasady projektowania spersonalizowanych strategii edukacyjnych w przedszkolu i klasach I–III szkoły podstawowej, konstruowania wiedzy w przedszkolu i klasach I–III szkoły podstawowej; zasady projektowania i prowadzenia działań pedagogicznych, rozpoznawania potrzeb, możliwości i uzdolnień dziecka lub ucznia, a także planowania, realizacji i oceny spersonalizowanych programów kształcenia i wychowania.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SJKPPW_W03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SJKPPW_W13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SJKPPW_W14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SJKPPW_W16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5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IPEP-0-IPE_05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Potrafi kształtować bezpieczne i przyjazne edukacyjne środowisko rozwoju dzieci, z uwzględnieniem indywidualnych potrzeb, możliwości i uzdolnień dziecka lub ucznia, z nastawieniem na osobowy i podmiotowy rozwój.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SJKPPW_U01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SJKPPW_U02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SJKPPW_U07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IPEP-0-IPE_06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Potrafi planować, realizować i oceniać efekty spersonalizowanych strategii i programów kształcenia i wychowania z nastawieniem na integralny rozwój dziecka lub ucznia.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SJKPPW_U04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SJKPPW_U09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SJKPPW_U10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5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IPEP-0-IPE_07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Potrafi identyfikować i rozbudzać zainteresowania i zdolności dzieci lub uczniów, dostosowywać sposoby i treści nauczania do ich zasobów.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SJKPPW_U06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SJKPPW_U10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SJKPPW_U11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7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IPEP-0-IPE_08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Jest gotów do kierowania się wrażliwością etyczną, empatią, otwartością, krytycyzmem oraz przyjęcia odpowiedzialności za integralny rozwój dzieci lub uczniów i podejmowane działania pedagogiczne; budowania relacji wzajemnego zaufania między wszystkimi podmiotami procesu wychowania i kształcenia, w tym rodzicami lub opiekunami dziecka lub ucznia oraz włączania ich w działania sprzyjające efektywności edukacji.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SJKPPW_K01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SJKPPW_K03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SJKPPW_K04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SJKPPW_K06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SJKPPW_K07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1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4"/>
        <w:gridCol w:w="6300"/>
        <w:gridCol w:w="2106"/>
      </w:tblGrid>
      <w:tr>
        <w:trPr>
          <w:trHeight w:val="615" w:hRule="atLeast"/>
        </w:trPr>
        <w:tc>
          <w:tcPr>
            <w:tcW w:w="9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>
        <w:trPr>
          <w:trHeight w:val="1005" w:hRule="atLeast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Symbol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Treści kształcenia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 xml:space="preserve">Odniesienie </w:t>
              <w:br/>
              <w:t xml:space="preserve">do efektów </w:t>
            </w:r>
            <w:r>
              <w:rPr/>
              <w:t>uczenia się przedmiotu</w:t>
            </w:r>
          </w:p>
        </w:tc>
      </w:tr>
      <w:tr>
        <w:trPr>
          <w:trHeight w:val="360" w:hRule="atLeast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bookmarkStart w:id="0" w:name="__DdeLink__20012_1807939846"/>
            <w:r>
              <w:rPr/>
              <w:t>IPEP-0-IPE_01</w:t>
            </w:r>
            <w:bookmarkEnd w:id="0"/>
          </w:p>
        </w:tc>
      </w:tr>
      <w:tr>
        <w:trPr>
          <w:trHeight w:val="345" w:hRule="atLeast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Różne modele procesu wspierania rozwoju dziecka lub ucznia. </w:t>
            </w:r>
          </w:p>
          <w:p>
            <w:pPr>
              <w:pStyle w:val="Normal"/>
              <w:rPr/>
            </w:pPr>
            <w:r>
              <w:rPr/>
              <w:t xml:space="preserve">Adaptacja dziecka w przedszkolu i ucznia w szkole. </w:t>
            </w:r>
          </w:p>
          <w:p>
            <w:pPr>
              <w:pStyle w:val="Normal"/>
              <w:rPr/>
            </w:pPr>
            <w:r>
              <w:rPr/>
              <w:t>Rola inicjacji: czytelniczej, teatralnej, muzycznej, plastycznej, technicznej.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IPEP-0-IPE_02</w:t>
            </w:r>
          </w:p>
        </w:tc>
      </w:tr>
      <w:tr>
        <w:trPr>
          <w:trHeight w:val="345" w:hRule="atLeast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Środowisko szkolne i środowisko lokalne a indywidualizacja potrzeb.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IPEP-0-IPE_03</w:t>
            </w:r>
          </w:p>
        </w:tc>
      </w:tr>
      <w:tr>
        <w:trPr>
          <w:trHeight w:val="360" w:hRule="atLeast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Projektowanie działań edukacyjnych i wychowawczych prowadzonych w ramach indywidualizacji kształcenia.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IPEP-0-IPE_04</w:t>
            </w:r>
          </w:p>
        </w:tc>
      </w:tr>
      <w:tr>
        <w:trPr>
          <w:trHeight w:val="345" w:hRule="atLeast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Dzieci zdolne i dzieci doświadczające trudności rozwojowych bądź środowiskowych a indywidualizacja procesu  kształcenia czy wychowania.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IPEP-0-IPE_05</w:t>
            </w:r>
          </w:p>
        </w:tc>
      </w:tr>
      <w:tr>
        <w:trPr>
          <w:trHeight w:val="345" w:hRule="atLeast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Planowanie pracy z dzieckiem zdolnym oraz dzieckiem doświadczającym trudności rozwojowych bądź środowiskowych.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IPEP-0-IPE_06</w:t>
            </w:r>
          </w:p>
        </w:tc>
      </w:tr>
      <w:tr>
        <w:trPr>
          <w:trHeight w:val="360" w:hRule="atLeast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Przygotowanie materiałów pomagających identyfikować i rozbudzać zainteresowania i zdolności dzieci lub uczniów, jak również dostosowywać sposoby i treści nauczania do ich zasobów.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IPEP-0-IPE_07</w:t>
            </w:r>
          </w:p>
        </w:tc>
      </w:tr>
      <w:tr>
        <w:trPr>
          <w:trHeight w:val="345" w:hRule="atLeast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Dekalog pedagoga indywidualizującego proces dydaktyczny lub wychowawczy. Przykłady dobrych praktyk.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IPEP-0-IPE_08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41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339"/>
        <w:gridCol w:w="7070"/>
      </w:tblGrid>
      <w:tr>
        <w:trPr>
          <w:trHeight w:val="615" w:hRule="atLeast"/>
        </w:trPr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>
        <w:trPr>
          <w:trHeight w:val="810" w:hRule="atLeast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Podstawowa</w:t>
            </w:r>
          </w:p>
          <w:p>
            <w:pPr>
              <w:pStyle w:val="Normal"/>
              <w:rPr>
                <w:color w:val="339966"/>
              </w:rPr>
            </w:pPr>
            <w:r>
              <w:rPr>
                <w:color w:val="339966"/>
              </w:rPr>
            </w:r>
          </w:p>
          <w:p>
            <w:pPr>
              <w:pStyle w:val="Normal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/>
            </w:pPr>
            <w:r>
              <w:rPr>
                <w:color w:val="000000"/>
                <w:u w:val="none"/>
              </w:rPr>
              <w:t>1. Grzegorzewska S., Różnicowanie kształcenia w klasach początkowych, Kraków 2009.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color w:val="000000"/>
                <w:u w:val="none"/>
              </w:rPr>
              <w:t xml:space="preserve">2. Jarosz E., Wysocka E., Diagnoza psychopedagogiczna: podstawowe problemy i rozwiązania, Warszawa 2006. 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color w:val="000000"/>
                <w:u w:val="none"/>
              </w:rPr>
              <w:t>3</w:t>
            </w:r>
            <w:r>
              <w:rPr>
                <w:color w:val="000000"/>
                <w:u w:val="none"/>
              </w:rPr>
              <w:t xml:space="preserve">. Magda-Adamowicz M., Żernik K. </w:t>
            </w:r>
            <w:r>
              <w:rPr>
                <w:color w:val="000000"/>
                <w:u w:val="none"/>
              </w:rPr>
              <w:t>(red.)</w:t>
            </w:r>
            <w:r>
              <w:rPr>
                <w:color w:val="000000"/>
                <w:u w:val="none"/>
              </w:rPr>
              <w:t xml:space="preserve">, </w:t>
            </w:r>
            <w:hyperlink r:id="rId2">
              <w:r>
                <w:rPr>
                  <w:rStyle w:val="Czeinternetowe"/>
                  <w:color w:val="000000"/>
                  <w:u w:val="none"/>
                </w:rPr>
                <w:t>(Nie)codzienność indywidualizacji w przestrzeni wczesnoszkolnej: uczniowie z problemami w nauce i zachowaniu. T. 1, Toruń 2018.</w:t>
              </w:r>
            </w:hyperlink>
          </w:p>
          <w:p>
            <w:pPr>
              <w:pStyle w:val="Normal"/>
              <w:spacing w:lineRule="auto" w:line="360"/>
              <w:rPr/>
            </w:pPr>
            <w:r>
              <w:rPr>
                <w:color w:val="000000"/>
                <w:u w:val="none"/>
              </w:rPr>
              <w:t xml:space="preserve">4. Piekarski J. </w:t>
            </w:r>
            <w:r>
              <w:rPr>
                <w:color w:val="000000"/>
                <w:u w:val="none"/>
              </w:rPr>
              <w:t xml:space="preserve">(red.), Edukacja społeczna wobec problemów współczesnego człowieka i społeczeństwa, Łódź 2010. 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color w:val="000000"/>
                <w:u w:val="none"/>
              </w:rPr>
              <w:t>5</w:t>
            </w:r>
            <w:r>
              <w:rPr>
                <w:color w:val="000000"/>
                <w:u w:val="none"/>
              </w:rPr>
              <w:t xml:space="preserve">. Wiśniewski D. </w:t>
            </w:r>
            <w:r>
              <w:rPr>
                <w:color w:val="000000"/>
                <w:u w:val="none"/>
              </w:rPr>
              <w:t>(red.),</w:t>
            </w:r>
            <w:r>
              <w:rPr>
                <w:color w:val="000000"/>
                <w:u w:val="none"/>
              </w:rPr>
              <w:t xml:space="preserve"> </w:t>
            </w:r>
            <w:hyperlink r:id="rId3">
              <w:r>
                <w:rPr>
                  <w:rStyle w:val="Czeinternetowe"/>
                  <w:color w:val="000000"/>
                  <w:u w:val="none"/>
                </w:rPr>
                <w:t>Młodzież w społeczeństwie wielokulturowym: od małej ojczyzny do globalnego świata, Warszawa 2015.</w:t>
              </w:r>
            </w:hyperlink>
          </w:p>
        </w:tc>
      </w:tr>
      <w:tr>
        <w:trPr>
          <w:trHeight w:val="702" w:hRule="atLeast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Uzupełniająca</w:t>
            </w:r>
          </w:p>
          <w:p>
            <w:pPr>
              <w:pStyle w:val="Normal"/>
              <w:rPr>
                <w:color w:val="339966"/>
              </w:rPr>
            </w:pPr>
            <w:r>
              <w:rPr>
                <w:color w:val="339966"/>
              </w:rPr>
            </w:r>
          </w:p>
          <w:p>
            <w:pPr>
              <w:pStyle w:val="Normal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/>
            </w:pPr>
            <w:r>
              <w:rPr>
                <w:u w:val="none"/>
              </w:rPr>
              <w:t xml:space="preserve">1. </w:t>
            </w:r>
            <w:r>
              <w:rPr>
                <w:u w:val="none"/>
              </w:rPr>
              <w:t xml:space="preserve">Bartkowicz Z., Węgliński A., Lewicka A. (red.), Powinności i kompetencje w wychowaniu osób niedostosowanych społecznie, Lublin 2010. 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u w:val="none"/>
              </w:rPr>
              <w:t xml:space="preserve">2. Dyrda B., Edukacyjne wspieranie rozwoju uczniów zdolnych: studium społeczno-pedagogiczne, Warszawa 2012. 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u w:val="none"/>
              </w:rPr>
              <w:t xml:space="preserve">3. Minczakiewicz E. M., Jak krok po kroku wprowadzać dzieci o specjalnych potrzebach edukacyjnych w świat zabawy i nauki, Kraków 2006. </w:t>
            </w:r>
            <w:r>
              <w:rPr>
                <w:u w:val="none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1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169"/>
        <w:gridCol w:w="1801"/>
        <w:gridCol w:w="1378"/>
        <w:gridCol w:w="1417"/>
        <w:gridCol w:w="2645"/>
      </w:tblGrid>
      <w:tr>
        <w:trPr>
          <w:trHeight w:val="615" w:hRule="atLeast"/>
        </w:trPr>
        <w:tc>
          <w:tcPr>
            <w:tcW w:w="9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>
        <w:trPr>
          <w:trHeight w:val="870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Symbol treści kształcenia realizowanych</w:t>
              <w:br/>
              <w:t>w trakcie zajęć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Forma realizacji treści kształcenia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Typ oceniania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Metody oceny</w:t>
            </w:r>
          </w:p>
        </w:tc>
      </w:tr>
      <w:tr>
        <w:trPr>
          <w:trHeight w:val="480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Praca pisemna</w:t>
            </w:r>
          </w:p>
          <w:p>
            <w:pPr>
              <w:pStyle w:val="Normal"/>
              <w:rPr/>
            </w:pPr>
            <w:r>
              <w:rPr/>
              <w:t>Kolokwium</w:t>
            </w:r>
          </w:p>
        </w:tc>
      </w:tr>
      <w:tr>
        <w:trPr>
          <w:trHeight w:val="525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Praca pisemna</w:t>
            </w:r>
          </w:p>
          <w:p>
            <w:pPr>
              <w:pStyle w:val="Normal"/>
              <w:rPr/>
            </w:pPr>
            <w:r>
              <w:rPr/>
              <w:t>Kolokwium</w:t>
            </w:r>
          </w:p>
        </w:tc>
      </w:tr>
      <w:tr>
        <w:trPr>
          <w:trHeight w:val="525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Praca pisemna</w:t>
            </w:r>
          </w:p>
          <w:p>
            <w:pPr>
              <w:pStyle w:val="Normal"/>
              <w:rPr/>
            </w:pPr>
            <w:r>
              <w:rPr/>
              <w:t>Kolokwium</w:t>
            </w:r>
          </w:p>
        </w:tc>
      </w:tr>
      <w:tr>
        <w:trPr>
          <w:trHeight w:val="540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IPEP-0-IPE_04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Praca pisemna</w:t>
            </w:r>
          </w:p>
          <w:p>
            <w:pPr>
              <w:pStyle w:val="Normal"/>
              <w:rPr/>
            </w:pPr>
            <w:r>
              <w:rPr/>
              <w:t>Kolokwium</w:t>
            </w:r>
          </w:p>
        </w:tc>
      </w:tr>
      <w:tr>
        <w:trPr>
          <w:trHeight w:val="525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Praca pisemna</w:t>
            </w:r>
          </w:p>
          <w:p>
            <w:pPr>
              <w:pStyle w:val="Normal"/>
              <w:rPr/>
            </w:pPr>
            <w:r>
              <w:rPr/>
              <w:t>Kolokwium</w:t>
            </w:r>
          </w:p>
        </w:tc>
      </w:tr>
      <w:tr>
        <w:trPr>
          <w:trHeight w:val="525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IPEP-0-IPE_06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Praca pisemna</w:t>
            </w:r>
          </w:p>
          <w:p>
            <w:pPr>
              <w:pStyle w:val="Normal"/>
              <w:rPr/>
            </w:pPr>
            <w:r>
              <w:rPr/>
              <w:t>Kolokwium</w:t>
            </w:r>
          </w:p>
        </w:tc>
      </w:tr>
      <w:tr>
        <w:trPr>
          <w:trHeight w:val="540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IPEP-0-IPE_07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Praca pisemna</w:t>
            </w:r>
          </w:p>
          <w:p>
            <w:pPr>
              <w:pStyle w:val="Normal"/>
              <w:rPr/>
            </w:pPr>
            <w:r>
              <w:rPr/>
              <w:t>Kolokwium</w:t>
            </w:r>
          </w:p>
        </w:tc>
      </w:tr>
      <w:tr>
        <w:trPr>
          <w:trHeight w:val="496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IPEP-0-IPE_08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Praca pisemna</w:t>
            </w:r>
          </w:p>
          <w:p>
            <w:pPr>
              <w:pStyle w:val="Normal"/>
              <w:rPr/>
            </w:pPr>
            <w:r>
              <w:rPr/>
              <w:t>Kolokwium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1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20"/>
        <w:gridCol w:w="2712"/>
        <w:gridCol w:w="3278"/>
      </w:tblGrid>
      <w:tr>
        <w:trPr>
          <w:trHeight w:val="615" w:hRule="atLeast"/>
        </w:trPr>
        <w:tc>
          <w:tcPr>
            <w:tcW w:w="9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>
        <w:trPr>
          <w:trHeight w:val="61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Forma aktywności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Średnia liczba godzin na zrealizowanie aktywności</w:t>
            </w:r>
          </w:p>
        </w:tc>
      </w:tr>
      <w:tr>
        <w:trPr>
          <w:trHeight w:val="540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Godz.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ECTS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</w:t>
            </w:r>
          </w:p>
        </w:tc>
      </w:tr>
      <w:tr>
        <w:trPr>
          <w:trHeight w:val="540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Godz. 50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1. Opracowanie ankiety dotyczącej diagnozy pracy placówki edukacyjnej w zakresie indywidualizacji procesu kształcenia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20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2. Przeprowadzenie ankiety dotyczącej diagnozy pracy placówki edukacyjnej w zakresie indywidualizacji procesu kształcenia i opracowanie wyników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25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3. Analiza literatury </w:t>
            </w:r>
            <w:bookmarkStart w:id="1" w:name="_GoBack"/>
            <w:bookmarkEnd w:id="1"/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5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80</w:t>
            </w:r>
          </w:p>
        </w:tc>
      </w:tr>
      <w:tr>
        <w:trPr>
          <w:trHeight w:val="67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 ECTS</w:t>
            </w:r>
          </w:p>
        </w:tc>
      </w:tr>
      <w:tr>
        <w:trPr>
          <w:trHeight w:val="67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 ECTS</w:t>
            </w:r>
          </w:p>
        </w:tc>
      </w:tr>
      <w:tr>
        <w:trPr>
          <w:trHeight w:val="67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ECTS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70" w:type="dxa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70"/>
      </w:tblGrid>
      <w:tr>
        <w:trPr/>
        <w:tc>
          <w:tcPr>
            <w:tcW w:w="9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>
        <w:trPr/>
        <w:tc>
          <w:tcPr>
            <w:tcW w:w="9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Studia stacjonarne</w:t>
            </w:r>
          </w:p>
          <w:p>
            <w:pPr>
              <w:pStyle w:val="Normal"/>
              <w:jc w:val="center"/>
              <w:rPr/>
            </w:pPr>
            <w:r>
              <w:rPr/>
              <w:t>75%  x 1 ECTS = godziny wymagające bezpośredniego udziału nauczyciela</w:t>
            </w:r>
          </w:p>
          <w:p>
            <w:pPr>
              <w:pStyle w:val="Normal"/>
              <w:jc w:val="center"/>
              <w:rPr/>
            </w:pPr>
            <w:r>
              <w:rPr/>
              <w:t>25%  x 1 ECTS = godziny poświęcone przez studenta na pracę własną</w:t>
            </w:r>
          </w:p>
          <w:p>
            <w:pPr>
              <w:pStyle w:val="Normal"/>
              <w:jc w:val="center"/>
              <w:rPr/>
            </w:pPr>
            <w:r>
              <w:rPr/>
              <w:t>Studia niestacjonarne</w:t>
            </w:r>
          </w:p>
          <w:p>
            <w:pPr>
              <w:pStyle w:val="Normal"/>
              <w:jc w:val="center"/>
              <w:rPr/>
            </w:pPr>
            <w:r>
              <w:rPr/>
              <w:t>50%  x 1 ECTS = godziny wymagające bezpośredniego udziału nauczyciela</w:t>
            </w:r>
          </w:p>
          <w:p>
            <w:pPr>
              <w:pStyle w:val="Normal"/>
              <w:jc w:val="center"/>
              <w:rPr/>
            </w:pPr>
            <w:r>
              <w:rPr/>
              <w:t>50%  x 1 ECTS = godziny poświęcone przez studenta na pracę własną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Praktyka zawodowa </w:t>
            </w:r>
          </w:p>
          <w:p>
            <w:pPr>
              <w:pStyle w:val="Normal"/>
              <w:jc w:val="center"/>
              <w:rPr/>
            </w:pPr>
            <w:r>
              <w:rPr/>
              <w:t>100%  x 1 ECTS = godziny wymagające bezpośredniego udziału nauczyciela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Zajęcia praktyczne na kierunku pielęgniarstwo </w:t>
            </w:r>
          </w:p>
          <w:p>
            <w:pPr>
              <w:pStyle w:val="Normal"/>
              <w:jc w:val="center"/>
              <w:rPr/>
            </w:pPr>
            <w:r>
              <w:rPr/>
              <w:t>100%  x 1 ECTS = godziny wymagające bezpośredniego udziału nauczyciela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35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0"/>
        <w:gridCol w:w="8789"/>
      </w:tblGrid>
      <w:tr>
        <w:trPr>
          <w:trHeight w:val="429" w:hRule="atLeast"/>
        </w:trPr>
        <w:tc>
          <w:tcPr>
            <w:tcW w:w="9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VII. KRYTERIA OCENY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znakomita wiedza, umiejętności, kompetencje</w:t>
            </w:r>
          </w:p>
        </w:tc>
      </w:tr>
      <w:tr>
        <w:trPr>
          <w:trHeight w:val="377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4,5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bardzo dobra wiedza, umiejętności, kompetencje</w:t>
            </w:r>
          </w:p>
        </w:tc>
      </w:tr>
      <w:tr>
        <w:trPr>
          <w:trHeight w:val="366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dobra wiedza, umiejętności, kompetencje</w:t>
            </w:r>
          </w:p>
        </w:tc>
      </w:tr>
      <w:tr>
        <w:trPr>
          <w:trHeight w:val="366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3,5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zadawalająca wiedza, umiejętności, kompetencje, ale ze znacznymi niedociągnięciami</w:t>
            </w:r>
          </w:p>
        </w:tc>
      </w:tr>
      <w:tr>
        <w:trPr>
          <w:trHeight w:val="377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zadawalająca wiedza, umiejętności, kompetencje, z licznymi błędami</w:t>
            </w:r>
          </w:p>
        </w:tc>
      </w:tr>
      <w:tr>
        <w:trPr>
          <w:trHeight w:val="366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niezadawalająca wiedza, umiejętności, kompetencje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Zatwierdzenie karty opisu przedmiotu: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Opracował: dr Anna Maćkowiak</w:t>
      </w:r>
    </w:p>
    <w:p>
      <w:pPr>
        <w:pStyle w:val="Normal"/>
        <w:rPr/>
      </w:pPr>
      <w:r>
        <w:rPr/>
        <w:t xml:space="preserve">Sprawdził  pod względem formalnym (koordynator przedmiotu): </w:t>
      </w:r>
    </w:p>
    <w:p>
      <w:pPr>
        <w:pStyle w:val="Normal"/>
        <w:rPr/>
      </w:pPr>
      <w:r>
        <w:rPr/>
        <w:t>Zatwierdził (Dyrektor Instytutu): dr Monika Kościelniak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260" w:right="1106" w:header="0" w:top="899" w:footer="0" w:bottom="71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altName w:val="helvetica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4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fb1089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360e3e"/>
    <w:pPr>
      <w:keepNext w:val="true"/>
      <w:jc w:val="both"/>
      <w:outlineLvl w:val="0"/>
    </w:pPr>
    <w:rPr>
      <w:b/>
      <w:bCs/>
    </w:rPr>
  </w:style>
  <w:style w:type="paragraph" w:styleId="Nagwek2">
    <w:name w:val="Heading 2"/>
    <w:basedOn w:val="Normal"/>
    <w:next w:val="Normal"/>
    <w:qFormat/>
    <w:rsid w:val="00360e3e"/>
    <w:pPr>
      <w:keepNext w:val="true"/>
      <w:jc w:val="both"/>
      <w:outlineLvl w:val="1"/>
    </w:pPr>
    <w:rPr>
      <w:b/>
      <w:bCs/>
      <w:sz w:val="20"/>
    </w:rPr>
  </w:style>
  <w:style w:type="paragraph" w:styleId="Nagwek3">
    <w:name w:val="Heading 3"/>
    <w:basedOn w:val="Gwka"/>
    <w:next w:val="Tretekstu"/>
    <w:qFormat/>
    <w:pPr>
      <w:spacing w:before="140" w:after="0"/>
      <w:outlineLvl w:val="2"/>
    </w:pPr>
    <w:rPr>
      <w:rFonts w:ascii="Liberation Serif" w:hAnsi="Liberation Serif" w:eastAsia="Segoe UI" w:cs="Tahoma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e532fa"/>
    <w:rPr>
      <w:sz w:val="16"/>
      <w:szCs w:val="16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Czeinternetowe" w:customStyle="1">
    <w:name w:val="Łącze internetowe"/>
    <w:rPr>
      <w:color w:val="000080"/>
      <w:u w:val="single"/>
    </w:rPr>
  </w:style>
  <w:style w:type="character" w:styleId="ListLabel1">
    <w:name w:val="ListLabel 1"/>
    <w:qFormat/>
    <w:rPr>
      <w:color w:val="000000"/>
      <w:u w:val="single"/>
    </w:rPr>
  </w:style>
  <w:style w:type="character" w:styleId="ListLabel2">
    <w:name w:val="ListLabel 2"/>
    <w:qFormat/>
    <w:rPr>
      <w:rFonts w:ascii="arial;helvetica;clean;sans-serif" w:hAnsi="arial;helvetica;clean;sans-serif"/>
      <w:b w:val="false"/>
      <w:i w:val="false"/>
      <w:caps w:val="false"/>
      <w:smallCaps w:val="false"/>
      <w:color w:val="000000"/>
      <w:spacing w:val="0"/>
      <w:sz w:val="14"/>
      <w:u w:val="single"/>
    </w:rPr>
  </w:style>
  <w:style w:type="character" w:styleId="ListLabel3">
    <w:name w:val="ListLabel 3"/>
    <w:qFormat/>
    <w:rPr>
      <w:color w:val="000000"/>
      <w:u w:val="none"/>
    </w:rPr>
  </w:style>
  <w:style w:type="character" w:styleId="ListLabel4">
    <w:name w:val="ListLabel 4"/>
    <w:qFormat/>
    <w:rPr>
      <w:rFonts w:ascii="arial;helvetica;clean;sans-serif" w:hAnsi="arial;helvetica;clean;sans-serif"/>
      <w:b w:val="false"/>
      <w:i w:val="false"/>
      <w:caps w:val="false"/>
      <w:smallCaps w:val="false"/>
      <w:color w:val="000000"/>
      <w:spacing w:val="0"/>
      <w:sz w:val="14"/>
      <w:u w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Wcicietrecitekstu">
    <w:name w:val="Body Text Indent"/>
    <w:basedOn w:val="Normal"/>
    <w:rsid w:val="00360e3e"/>
    <w:pPr>
      <w:ind w:left="360" w:hanging="0"/>
      <w:jc w:val="both"/>
    </w:pPr>
    <w:rPr>
      <w:rFonts w:ascii="Arial" w:hAnsi="Arial" w:cs="Arial"/>
    </w:rPr>
  </w:style>
  <w:style w:type="paragraph" w:styleId="Annotationtext">
    <w:name w:val="annotation text"/>
    <w:basedOn w:val="Normal"/>
    <w:semiHidden/>
    <w:qFormat/>
    <w:rsid w:val="00e532f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e532fa"/>
    <w:pPr/>
    <w:rPr>
      <w:b/>
      <w:bCs/>
    </w:rPr>
  </w:style>
  <w:style w:type="paragraph" w:styleId="BalloonText">
    <w:name w:val="Balloon Text"/>
    <w:basedOn w:val="Normal"/>
    <w:semiHidden/>
    <w:qFormat/>
    <w:rsid w:val="00e532fa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7f6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javascript:void(0);" TargetMode="External"/><Relationship Id="rId3" Type="http://schemas.openxmlformats.org/officeDocument/2006/relationships/hyperlink" Target="javascript:void(0);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LibreOffice/6.1.3.2$Windows_x86 LibreOffice_project/86daf60bf00efa86ad547e59e09d6bb77c699acb</Application>
  <Pages>6</Pages>
  <Words>1146</Words>
  <Characters>8265</Characters>
  <CharactersWithSpaces>9269</CharactersWithSpaces>
  <Paragraphs>230</Paragraphs>
  <Company>South Hell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2019-09-25T15:50:00Z</dcterms:created>
  <dc:creator>`</dc:creator>
  <dc:description/>
  <dc:language>pl-PL</dc:language>
  <cp:lastModifiedBy/>
  <dcterms:modified xsi:type="dcterms:W3CDTF">2019-09-26T22:16:49Z</dcterms:modified>
  <cp:revision>5</cp:revision>
  <dc:subject/>
  <dc:title>Nazwa przedmiotu: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